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B8" w:rsidRPr="004E71B8" w:rsidRDefault="004E71B8" w:rsidP="004E71B8">
      <w:pPr>
        <w:spacing w:before="100" w:beforeAutospacing="1" w:after="100" w:afterAutospacing="1" w:line="273" w:lineRule="atLeast"/>
        <w:outlineLvl w:val="1"/>
        <w:rPr>
          <w:rFonts w:ascii="Sylfaen" w:eastAsia="Times New Roman" w:hAnsi="Sylfaen" w:cs="Times New Roman"/>
          <w:spacing w:val="-15"/>
          <w:sz w:val="31"/>
          <w:szCs w:val="31"/>
        </w:rPr>
      </w:pPr>
      <w:r w:rsidRPr="004E71B8">
        <w:rPr>
          <w:rFonts w:ascii="Sylfaen" w:eastAsia="Times New Roman" w:hAnsi="Sylfaen" w:cs="Times New Roman"/>
          <w:spacing w:val="-15"/>
          <w:sz w:val="31"/>
          <w:szCs w:val="31"/>
        </w:rPr>
        <w:fldChar w:fldCharType="begin"/>
      </w:r>
      <w:r w:rsidRPr="004E71B8">
        <w:rPr>
          <w:rFonts w:ascii="Sylfaen" w:eastAsia="Times New Roman" w:hAnsi="Sylfaen" w:cs="Times New Roman"/>
          <w:spacing w:val="-15"/>
          <w:sz w:val="31"/>
          <w:szCs w:val="31"/>
        </w:rPr>
        <w:instrText xml:space="preserve"> HYPERLINK "http://nicole-buckingham.com/234-2/" </w:instrText>
      </w:r>
      <w:r w:rsidRPr="004E71B8">
        <w:rPr>
          <w:rFonts w:ascii="Sylfaen" w:eastAsia="Times New Roman" w:hAnsi="Sylfaen" w:cs="Times New Roman"/>
          <w:spacing w:val="-15"/>
          <w:sz w:val="31"/>
          <w:szCs w:val="31"/>
        </w:rPr>
        <w:fldChar w:fldCharType="separate"/>
      </w:r>
      <w:r w:rsidRPr="00BB3185">
        <w:rPr>
          <w:rFonts w:ascii="Sylfaen" w:eastAsia="Times New Roman" w:hAnsi="Sylfaen" w:cs="Times New Roman"/>
          <w:spacing w:val="-15"/>
          <w:sz w:val="31"/>
          <w:szCs w:val="31"/>
        </w:rPr>
        <w:t>Exhibitions/Art</w:t>
      </w:r>
      <w:r w:rsidRPr="004E71B8">
        <w:rPr>
          <w:rFonts w:ascii="Sylfaen" w:eastAsia="Times New Roman" w:hAnsi="Sylfaen" w:cs="Times New Roman"/>
          <w:spacing w:val="-15"/>
          <w:sz w:val="31"/>
          <w:szCs w:val="31"/>
        </w:rPr>
        <w:fldChar w:fldCharType="end"/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2014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Autumn Leaves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Area 405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The Human Factor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Fredericksburg Center for Creative Arts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Fredericksburg, VA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Ventures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Civera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t xml:space="preserve">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Notre Dame of Maryland University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Ordinary Woman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Howard County Center for the Arts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Ellicott City,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2013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The Portrait and the Figure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Federal Courthouse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Courtesy of UMUC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Greenbelt,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National Drawing and Print Competitive Exhibition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Gormley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t xml:space="preserve">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Notre Dame of Maryland University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Portraits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Linus Galleries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Long Beach, CA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Online Exhibition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2012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Friends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The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t xml:space="preserve"> Ice House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Berkeley Springs, WV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Faculty I.D</w:t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.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br/>
        <w:t>Bi-annual Art, Design and Interactive Media Faculty Exhibit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The Community College of Baltimore County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lastRenderedPageBreak/>
        <w:t>The Lonely Planet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Linus Galleries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Long Beach, CA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2011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Femme Fatale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The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t xml:space="preserve"> Community College of Baltimore County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2010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Rendering a Narrative: Imagination and Allegory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The College of Notre Dame of Maryland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 xml:space="preserve">Two person exhibit with artist Erin </w:t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Fostel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Confluence of Influence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Bi-annual Art, Design and Interactive Media Faculty Exhibit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The Community College of Baltimore County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Mind, Body, Spirit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The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t xml:space="preserve"> University of Maryland University College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Juror, Eric Key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Adelphi,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BB3185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2009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New Narratives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Cade Art Gallery, AACC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 xml:space="preserve">Juror, Peter </w:t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Bruun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t>, Director of Art on Purpose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Arnold,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Illustration 2009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Towson Arts Collective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 xml:space="preserve">Jurors, James </w:t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Warhola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t xml:space="preserve"> and Warren Linn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TAC Second Anniversary Exhibit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Towson Arts Collective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Drawing Award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Juror, Doreen Bolger, Director of the Baltimore Museum of Art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2008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Art MD 2008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Howard County Center for the Arts, Gallery I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Juror, Dr. Leslie King Hammond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Ellicott City,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lastRenderedPageBreak/>
        <w:t>2-D 144 Exhibit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Shippensburg University, Kaufmann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Shippensburg, PA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Women’s History Month Exhibit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The College of Notre Dame of Maryland, Gibbons Hall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2007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Mirror Me: Self Portraits by Women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The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t xml:space="preserve"> Community College of Baltimore County, Catonsville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Catonsville,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2006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Twisted Everyway, M.F.A. Thesis Exhibition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gramStart"/>
      <w:r w:rsidRPr="004E71B8">
        <w:rPr>
          <w:rFonts w:ascii="Verdana" w:eastAsia="Times New Roman" w:hAnsi="Verdana" w:cs="Times New Roman"/>
          <w:sz w:val="17"/>
          <w:szCs w:val="17"/>
        </w:rPr>
        <w:t>The</w:t>
      </w:r>
      <w:proofErr w:type="gramEnd"/>
      <w:r w:rsidRPr="004E71B8">
        <w:rPr>
          <w:rFonts w:ascii="Verdana" w:eastAsia="Times New Roman" w:hAnsi="Verdana" w:cs="Times New Roman"/>
          <w:sz w:val="17"/>
          <w:szCs w:val="17"/>
        </w:rPr>
        <w:t xml:space="preserve"> Savannah College of Art and Design, Alexander Main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Savannah, GA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 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2005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Katrina Relief Exhibition</w:t>
      </w:r>
      <w:r w:rsidRPr="004E71B8">
        <w:rPr>
          <w:rFonts w:ascii="Verdana" w:eastAsia="Times New Roman" w:hAnsi="Verdana" w:cs="Times New Roman"/>
          <w:sz w:val="17"/>
          <w:szCs w:val="17"/>
        </w:rPr>
        <w:br/>
      </w:r>
      <w:proofErr w:type="spellStart"/>
      <w:r w:rsidRPr="004E71B8">
        <w:rPr>
          <w:rFonts w:ascii="Verdana" w:eastAsia="Times New Roman" w:hAnsi="Verdana" w:cs="Times New Roman"/>
          <w:sz w:val="17"/>
          <w:szCs w:val="17"/>
        </w:rPr>
        <w:t>Desot</w:t>
      </w:r>
      <w:proofErr w:type="spellEnd"/>
      <w:r w:rsidRPr="004E71B8">
        <w:rPr>
          <w:rFonts w:ascii="Verdana" w:eastAsia="Times New Roman" w:hAnsi="Verdana" w:cs="Times New Roman"/>
          <w:sz w:val="17"/>
          <w:szCs w:val="17"/>
        </w:rPr>
        <w:t xml:space="preserve"> O Row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Savannah, GA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sz w:val="17"/>
          <w:szCs w:val="17"/>
        </w:rPr>
        <w:t>Figurative Competition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Gallery International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Baltimore, MD</w:t>
      </w:r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2003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Works on Paper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Fleckenstein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Towson, MD</w:t>
      </w:r>
      <w:bookmarkStart w:id="0" w:name="_GoBack"/>
      <w:bookmarkEnd w:id="0"/>
    </w:p>
    <w:p w:rsidR="004E71B8" w:rsidRPr="004E71B8" w:rsidRDefault="004E71B8" w:rsidP="004E71B8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sz w:val="17"/>
          <w:szCs w:val="17"/>
        </w:rPr>
      </w:pPr>
      <w:r w:rsidRPr="004E71B8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2000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Emerging Artists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Received Honorable Mention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Maryland Federation of Art Circle Gallery</w:t>
      </w:r>
      <w:r w:rsidRPr="004E71B8">
        <w:rPr>
          <w:rFonts w:ascii="Verdana" w:eastAsia="Times New Roman" w:hAnsi="Verdana" w:cs="Times New Roman"/>
          <w:sz w:val="17"/>
          <w:szCs w:val="17"/>
        </w:rPr>
        <w:br/>
        <w:t>Annapolis, MD</w:t>
      </w:r>
    </w:p>
    <w:p w:rsidR="000E6E77" w:rsidRPr="00BB3185" w:rsidRDefault="00BB3185"/>
    <w:sectPr w:rsidR="000E6E77" w:rsidRPr="00BB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B8"/>
    <w:rsid w:val="004E71B8"/>
    <w:rsid w:val="00627556"/>
    <w:rsid w:val="009D6388"/>
    <w:rsid w:val="00B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1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2015-01-13T16:55:00Z</dcterms:created>
  <dcterms:modified xsi:type="dcterms:W3CDTF">2015-01-13T16:56:00Z</dcterms:modified>
</cp:coreProperties>
</file>